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1B771" w14:textId="1844A93D" w:rsidR="006B746F" w:rsidRPr="007F0CCA" w:rsidRDefault="00634D22" w:rsidP="00634D22">
      <w:pPr>
        <w:spacing w:after="0" w:line="240" w:lineRule="auto"/>
        <w:jc w:val="center"/>
        <w:rPr>
          <w:b/>
          <w:bCs/>
          <w:color w:val="0B769F" w:themeColor="accent4" w:themeShade="BF"/>
          <w:sz w:val="28"/>
          <w:szCs w:val="28"/>
        </w:rPr>
      </w:pPr>
      <w:r w:rsidRPr="007F0CCA">
        <w:rPr>
          <w:b/>
          <w:bCs/>
          <w:color w:val="0B769F" w:themeColor="accent4" w:themeShade="BF"/>
          <w:sz w:val="28"/>
          <w:szCs w:val="28"/>
        </w:rPr>
        <w:t>FinCEN Residential Real Estate Rule in a Nutshell</w:t>
      </w:r>
    </w:p>
    <w:p w14:paraId="0C4EE1D2" w14:textId="4634CF26" w:rsidR="00634D22" w:rsidRPr="007F0CCA" w:rsidRDefault="00634D22" w:rsidP="00634D22">
      <w:pPr>
        <w:spacing w:after="0" w:line="240" w:lineRule="auto"/>
        <w:jc w:val="center"/>
        <w:rPr>
          <w:sz w:val="20"/>
          <w:szCs w:val="20"/>
        </w:rPr>
      </w:pPr>
      <w:r w:rsidRPr="007F0CCA">
        <w:rPr>
          <w:sz w:val="20"/>
          <w:szCs w:val="20"/>
        </w:rPr>
        <w:t>A Guide for Buyers, Sellers, Real Estate Agents, and Titleholders</w:t>
      </w:r>
    </w:p>
    <w:p w14:paraId="2D7B9EA1" w14:textId="77777777" w:rsidR="00634D22" w:rsidRPr="007F0CCA" w:rsidRDefault="00634D22" w:rsidP="00634D22">
      <w:pPr>
        <w:spacing w:after="0" w:line="240" w:lineRule="auto"/>
        <w:rPr>
          <w:sz w:val="20"/>
          <w:szCs w:val="20"/>
        </w:rPr>
      </w:pPr>
    </w:p>
    <w:p w14:paraId="1EA7DD18" w14:textId="72D4D0F9" w:rsidR="00634D22" w:rsidRPr="007F0CCA" w:rsidRDefault="00634D22" w:rsidP="007F0CCA">
      <w:pPr>
        <w:spacing w:after="0" w:line="240" w:lineRule="auto"/>
        <w:jc w:val="both"/>
        <w:rPr>
          <w:b/>
          <w:bCs/>
          <w:color w:val="0B769F" w:themeColor="accent4" w:themeShade="BF"/>
        </w:rPr>
      </w:pPr>
      <w:r w:rsidRPr="007F0CCA">
        <w:rPr>
          <w:b/>
          <w:bCs/>
          <w:color w:val="0B769F" w:themeColor="accent4" w:themeShade="BF"/>
        </w:rPr>
        <w:t xml:space="preserve">►What is FinCEN and the </w:t>
      </w:r>
      <w:r w:rsidR="00FC7E8F">
        <w:rPr>
          <w:b/>
          <w:bCs/>
          <w:color w:val="0B769F" w:themeColor="accent4" w:themeShade="BF"/>
        </w:rPr>
        <w:t>N</w:t>
      </w:r>
      <w:r w:rsidRPr="007F0CCA">
        <w:rPr>
          <w:b/>
          <w:bCs/>
          <w:color w:val="0B769F" w:themeColor="accent4" w:themeShade="BF"/>
        </w:rPr>
        <w:t>ew Residential Real Estate Rule (RRER)?</w:t>
      </w:r>
    </w:p>
    <w:p w14:paraId="0A624A44" w14:textId="6E4F99D9" w:rsidR="0094138F" w:rsidRPr="0094138F" w:rsidRDefault="0094138F" w:rsidP="007F0CCA">
      <w:pPr>
        <w:spacing w:after="0" w:line="240" w:lineRule="auto"/>
        <w:jc w:val="both"/>
        <w:rPr>
          <w:sz w:val="20"/>
          <w:szCs w:val="20"/>
        </w:rPr>
      </w:pPr>
      <w:r w:rsidRPr="0094138F">
        <w:rPr>
          <w:sz w:val="20"/>
          <w:szCs w:val="20"/>
        </w:rPr>
        <w:t>F</w:t>
      </w:r>
      <w:r>
        <w:rPr>
          <w:sz w:val="20"/>
          <w:szCs w:val="20"/>
        </w:rPr>
        <w:t>i</w:t>
      </w:r>
      <w:r w:rsidRPr="0094138F">
        <w:rPr>
          <w:sz w:val="20"/>
          <w:szCs w:val="20"/>
        </w:rPr>
        <w:t xml:space="preserve">nCEN is </w:t>
      </w:r>
      <w:r>
        <w:rPr>
          <w:sz w:val="20"/>
          <w:szCs w:val="20"/>
        </w:rPr>
        <w:t>an</w:t>
      </w:r>
      <w:r w:rsidRPr="0094138F">
        <w:rPr>
          <w:sz w:val="20"/>
          <w:szCs w:val="20"/>
        </w:rPr>
        <w:t xml:space="preserve"> acronym for the </w:t>
      </w:r>
      <w:r>
        <w:rPr>
          <w:sz w:val="20"/>
          <w:szCs w:val="20"/>
        </w:rPr>
        <w:t xml:space="preserve">Financial Crimes Enforcement Network, a division of the U.S. Treasury Department. Their mission is to </w:t>
      </w:r>
      <w:r w:rsidRPr="0094138F">
        <w:rPr>
          <w:sz w:val="20"/>
          <w:szCs w:val="20"/>
        </w:rPr>
        <w:t>safeguard the financial system from illicit use, combat</w:t>
      </w:r>
      <w:r>
        <w:rPr>
          <w:sz w:val="20"/>
          <w:szCs w:val="20"/>
        </w:rPr>
        <w:t xml:space="preserve"> </w:t>
      </w:r>
      <w:r w:rsidRPr="0094138F">
        <w:rPr>
          <w:sz w:val="20"/>
          <w:szCs w:val="20"/>
        </w:rPr>
        <w:t>money laundering and its related crimes including terrorism, and promote national security through the strategic collection, analysis, and dissemination of financial intelligence.</w:t>
      </w:r>
      <w:r>
        <w:rPr>
          <w:sz w:val="20"/>
          <w:szCs w:val="20"/>
        </w:rPr>
        <w:t xml:space="preserve"> The new Residential Real Estate Rule which will be effective December 1, 2025, was developed to fulfill this mission by determining the beneficial owners and source of funds associated with non-financed transaction involving U.S. residential real estate. </w:t>
      </w:r>
    </w:p>
    <w:p w14:paraId="3D73BA43" w14:textId="77777777" w:rsidR="00634D22" w:rsidRDefault="00634D22" w:rsidP="007F0CCA">
      <w:pPr>
        <w:spacing w:after="0" w:line="240" w:lineRule="auto"/>
        <w:jc w:val="both"/>
      </w:pPr>
    </w:p>
    <w:p w14:paraId="4C520C91" w14:textId="697E14A8" w:rsidR="00634D22" w:rsidRPr="007F0CCA" w:rsidRDefault="00634D22" w:rsidP="007F0CCA">
      <w:pPr>
        <w:spacing w:after="0" w:line="240" w:lineRule="auto"/>
        <w:jc w:val="both"/>
        <w:rPr>
          <w:b/>
          <w:bCs/>
          <w:color w:val="0B769F" w:themeColor="accent4" w:themeShade="BF"/>
        </w:rPr>
      </w:pPr>
      <w:r w:rsidRPr="007F0CCA">
        <w:rPr>
          <w:b/>
          <w:bCs/>
          <w:color w:val="0B769F" w:themeColor="accent4" w:themeShade="BF"/>
        </w:rPr>
        <w:t xml:space="preserve">►How does the RRER differ from </w:t>
      </w:r>
      <w:r w:rsidR="00FC7E8F">
        <w:rPr>
          <w:b/>
          <w:bCs/>
          <w:color w:val="0B769F" w:themeColor="accent4" w:themeShade="BF"/>
        </w:rPr>
        <w:t xml:space="preserve">Earlier Issued </w:t>
      </w:r>
      <w:r w:rsidRPr="007F0CCA">
        <w:rPr>
          <w:b/>
          <w:bCs/>
          <w:color w:val="0B769F" w:themeColor="accent4" w:themeShade="BF"/>
        </w:rPr>
        <w:t>Geographic Targeting Orders</w:t>
      </w:r>
      <w:r w:rsidR="0094138F" w:rsidRPr="007F0CCA">
        <w:rPr>
          <w:b/>
          <w:bCs/>
          <w:color w:val="0B769F" w:themeColor="accent4" w:themeShade="BF"/>
        </w:rPr>
        <w:t xml:space="preserve"> (GTOs)</w:t>
      </w:r>
      <w:r w:rsidRPr="007F0CCA">
        <w:rPr>
          <w:b/>
          <w:bCs/>
          <w:color w:val="0B769F" w:themeColor="accent4" w:themeShade="BF"/>
        </w:rPr>
        <w:t>?</w:t>
      </w:r>
    </w:p>
    <w:p w14:paraId="442B589F" w14:textId="05CBD742" w:rsidR="0094138F" w:rsidRPr="0094138F" w:rsidRDefault="0094138F" w:rsidP="007F0CCA">
      <w:pPr>
        <w:spacing w:after="0" w:line="240" w:lineRule="auto"/>
        <w:jc w:val="both"/>
        <w:rPr>
          <w:sz w:val="20"/>
          <w:szCs w:val="20"/>
        </w:rPr>
      </w:pPr>
      <w:r>
        <w:rPr>
          <w:sz w:val="20"/>
          <w:szCs w:val="20"/>
        </w:rPr>
        <w:t xml:space="preserve">The GTOs were a pilot program preceding the RRER designed to </w:t>
      </w:r>
      <w:r w:rsidRPr="0094138F">
        <w:rPr>
          <w:sz w:val="20"/>
          <w:szCs w:val="20"/>
        </w:rPr>
        <w:t>determin</w:t>
      </w:r>
      <w:r>
        <w:rPr>
          <w:sz w:val="20"/>
          <w:szCs w:val="20"/>
        </w:rPr>
        <w:t>e</w:t>
      </w:r>
      <w:r w:rsidRPr="0094138F">
        <w:rPr>
          <w:sz w:val="20"/>
          <w:szCs w:val="20"/>
        </w:rPr>
        <w:t xml:space="preserve"> the beneficial owners </w:t>
      </w:r>
      <w:r>
        <w:rPr>
          <w:sz w:val="20"/>
          <w:szCs w:val="20"/>
        </w:rPr>
        <w:t xml:space="preserve">of entities purchasing </w:t>
      </w:r>
      <w:r w:rsidRPr="0094138F">
        <w:rPr>
          <w:sz w:val="20"/>
          <w:szCs w:val="20"/>
        </w:rPr>
        <w:t>U.S. residential real estate</w:t>
      </w:r>
      <w:r>
        <w:rPr>
          <w:sz w:val="20"/>
          <w:szCs w:val="20"/>
        </w:rPr>
        <w:t xml:space="preserve"> in </w:t>
      </w:r>
      <w:r w:rsidRPr="0094138F">
        <w:rPr>
          <w:sz w:val="20"/>
          <w:szCs w:val="20"/>
        </w:rPr>
        <w:t>non-financed transaction</w:t>
      </w:r>
      <w:r>
        <w:rPr>
          <w:sz w:val="20"/>
          <w:szCs w:val="20"/>
        </w:rPr>
        <w:t xml:space="preserve">s. 75% of all residential purchases include a lender with federal anti-money laundering </w:t>
      </w:r>
      <w:r w:rsidR="00A33E5C">
        <w:rPr>
          <w:sz w:val="20"/>
          <w:szCs w:val="20"/>
        </w:rPr>
        <w:t>obligations</w:t>
      </w:r>
      <w:r>
        <w:rPr>
          <w:sz w:val="20"/>
          <w:szCs w:val="20"/>
        </w:rPr>
        <w:t xml:space="preserve">. The GTOs and the RRER are seeking to get beneficial ownership information of the other 25% of residential transactions. The GTOs </w:t>
      </w:r>
      <w:r w:rsidR="00A33E5C">
        <w:rPr>
          <w:sz w:val="20"/>
          <w:szCs w:val="20"/>
        </w:rPr>
        <w:t xml:space="preserve">were limited in geographic scope and transaction amounts while the RRER applies to all U.S. states, territories, the District of Columbia and all Indian lands and there is no threshold dollar amount. Even zero-dollar transactions may be reportable. </w:t>
      </w:r>
      <w:r w:rsidRPr="0094138F">
        <w:rPr>
          <w:sz w:val="20"/>
          <w:szCs w:val="20"/>
        </w:rPr>
        <w:t xml:space="preserve"> </w:t>
      </w:r>
    </w:p>
    <w:p w14:paraId="2BFE19A4" w14:textId="77777777" w:rsidR="00634D22" w:rsidRDefault="00634D22" w:rsidP="007F0CCA">
      <w:pPr>
        <w:spacing w:after="0" w:line="240" w:lineRule="auto"/>
        <w:jc w:val="both"/>
      </w:pPr>
    </w:p>
    <w:p w14:paraId="4C3C7E2F" w14:textId="6829E62E" w:rsidR="00634D22" w:rsidRPr="007F0CCA" w:rsidRDefault="00634D22" w:rsidP="007F0CCA">
      <w:pPr>
        <w:spacing w:after="0" w:line="240" w:lineRule="auto"/>
        <w:jc w:val="both"/>
        <w:rPr>
          <w:b/>
          <w:bCs/>
          <w:color w:val="0B769F" w:themeColor="accent4" w:themeShade="BF"/>
        </w:rPr>
      </w:pPr>
      <w:r w:rsidRPr="007F0CCA">
        <w:rPr>
          <w:b/>
          <w:bCs/>
          <w:color w:val="0B769F" w:themeColor="accent4" w:themeShade="BF"/>
        </w:rPr>
        <w:t>►What qualifies as a “Reportable Transaction” under the RRER?</w:t>
      </w:r>
    </w:p>
    <w:p w14:paraId="20CB683C" w14:textId="20795F70" w:rsidR="00A33E5C" w:rsidRPr="00A33E5C" w:rsidRDefault="00A33E5C" w:rsidP="007F0CCA">
      <w:pPr>
        <w:spacing w:after="0" w:line="240" w:lineRule="auto"/>
        <w:jc w:val="both"/>
        <w:rPr>
          <w:sz w:val="20"/>
          <w:szCs w:val="20"/>
        </w:rPr>
      </w:pPr>
      <w:r>
        <w:rPr>
          <w:sz w:val="20"/>
          <w:szCs w:val="20"/>
        </w:rPr>
        <w:t>A</w:t>
      </w:r>
      <w:r w:rsidRPr="00A33E5C">
        <w:rPr>
          <w:sz w:val="20"/>
          <w:szCs w:val="20"/>
        </w:rPr>
        <w:t xml:space="preserve"> reportable transfer is a non-financed transfer to a</w:t>
      </w:r>
      <w:r>
        <w:rPr>
          <w:sz w:val="20"/>
          <w:szCs w:val="20"/>
        </w:rPr>
        <w:t xml:space="preserve"> </w:t>
      </w:r>
      <w:r w:rsidRPr="00A33E5C">
        <w:rPr>
          <w:sz w:val="20"/>
          <w:szCs w:val="20"/>
        </w:rPr>
        <w:t xml:space="preserve">transferee entity or transferee trust of an ownership </w:t>
      </w:r>
    </w:p>
    <w:p w14:paraId="403C010C" w14:textId="336A5D4B" w:rsidR="00A33E5C" w:rsidRPr="00A33E5C" w:rsidRDefault="00A33E5C" w:rsidP="007F0CCA">
      <w:pPr>
        <w:spacing w:after="0" w:line="240" w:lineRule="auto"/>
        <w:jc w:val="both"/>
        <w:rPr>
          <w:sz w:val="20"/>
          <w:szCs w:val="20"/>
        </w:rPr>
      </w:pPr>
      <w:r w:rsidRPr="00A33E5C">
        <w:rPr>
          <w:sz w:val="20"/>
          <w:szCs w:val="20"/>
        </w:rPr>
        <w:t xml:space="preserve">interest in </w:t>
      </w:r>
      <w:proofErr w:type="gramStart"/>
      <w:r w:rsidRPr="00A33E5C">
        <w:rPr>
          <w:sz w:val="20"/>
          <w:szCs w:val="20"/>
        </w:rPr>
        <w:t>residential real</w:t>
      </w:r>
      <w:proofErr w:type="gramEnd"/>
      <w:r w:rsidRPr="00A33E5C">
        <w:rPr>
          <w:sz w:val="20"/>
          <w:szCs w:val="20"/>
        </w:rPr>
        <w:t xml:space="preserve"> property.</w:t>
      </w:r>
      <w:r>
        <w:rPr>
          <w:sz w:val="20"/>
          <w:szCs w:val="20"/>
        </w:rPr>
        <w:t xml:space="preserve"> </w:t>
      </w:r>
      <w:r w:rsidRPr="00A33E5C">
        <w:rPr>
          <w:sz w:val="20"/>
          <w:szCs w:val="20"/>
        </w:rPr>
        <w:t>31 CFR §1031.320(b)</w:t>
      </w:r>
      <w:r>
        <w:rPr>
          <w:sz w:val="20"/>
          <w:szCs w:val="20"/>
        </w:rPr>
        <w:t>.</w:t>
      </w:r>
    </w:p>
    <w:p w14:paraId="32F5FAB9" w14:textId="77777777" w:rsidR="00634D22" w:rsidRDefault="00634D22" w:rsidP="007F0CCA">
      <w:pPr>
        <w:spacing w:after="0" w:line="240" w:lineRule="auto"/>
        <w:jc w:val="both"/>
      </w:pPr>
    </w:p>
    <w:p w14:paraId="1CE4C1FD" w14:textId="3E7FB08E" w:rsidR="00634D22" w:rsidRPr="007F0CCA" w:rsidRDefault="00634D22" w:rsidP="007F0CCA">
      <w:pPr>
        <w:spacing w:after="0" w:line="240" w:lineRule="auto"/>
        <w:jc w:val="both"/>
        <w:rPr>
          <w:b/>
          <w:bCs/>
          <w:color w:val="0B769F" w:themeColor="accent4" w:themeShade="BF"/>
        </w:rPr>
      </w:pPr>
      <w:r w:rsidRPr="007F0CCA">
        <w:rPr>
          <w:b/>
          <w:bCs/>
          <w:color w:val="0B769F" w:themeColor="accent4" w:themeShade="BF"/>
        </w:rPr>
        <w:t>►What is “Residential Real Property</w:t>
      </w:r>
      <w:r w:rsidR="00FC7E8F">
        <w:rPr>
          <w:b/>
          <w:bCs/>
          <w:color w:val="0B769F" w:themeColor="accent4" w:themeShade="BF"/>
        </w:rPr>
        <w:t>”</w:t>
      </w:r>
      <w:r w:rsidRPr="007F0CCA">
        <w:rPr>
          <w:b/>
          <w:bCs/>
          <w:color w:val="0B769F" w:themeColor="accent4" w:themeShade="BF"/>
        </w:rPr>
        <w:t xml:space="preserve"> under the RRER?</w:t>
      </w:r>
    </w:p>
    <w:p w14:paraId="79AC755D" w14:textId="3CAA34D8" w:rsidR="00A33E5C" w:rsidRPr="00A33E5C" w:rsidRDefault="00A33E5C" w:rsidP="007F0CCA">
      <w:pPr>
        <w:spacing w:after="0" w:line="240" w:lineRule="auto"/>
        <w:jc w:val="both"/>
        <w:rPr>
          <w:sz w:val="20"/>
          <w:szCs w:val="20"/>
        </w:rPr>
      </w:pPr>
      <w:r w:rsidRPr="00A33E5C">
        <w:rPr>
          <w:sz w:val="20"/>
          <w:szCs w:val="20"/>
        </w:rPr>
        <w:t>Residential real estate in all 50 states, DC, Puerto Rico,</w:t>
      </w:r>
      <w:r>
        <w:rPr>
          <w:sz w:val="20"/>
          <w:szCs w:val="20"/>
        </w:rPr>
        <w:t xml:space="preserve"> </w:t>
      </w:r>
      <w:r w:rsidRPr="00A33E5C">
        <w:rPr>
          <w:sz w:val="20"/>
          <w:szCs w:val="20"/>
        </w:rPr>
        <w:t>overseas territories and Indian lands</w:t>
      </w:r>
      <w:r>
        <w:rPr>
          <w:sz w:val="20"/>
          <w:szCs w:val="20"/>
        </w:rPr>
        <w:t xml:space="preserve"> including:</w:t>
      </w:r>
    </w:p>
    <w:p w14:paraId="681F73C2" w14:textId="77777777" w:rsidR="00A33E5C" w:rsidRPr="00A33E5C" w:rsidRDefault="00A33E5C" w:rsidP="007F0CCA">
      <w:pPr>
        <w:spacing w:after="0" w:line="240" w:lineRule="auto"/>
        <w:ind w:firstLine="720"/>
        <w:jc w:val="both"/>
        <w:rPr>
          <w:sz w:val="20"/>
          <w:szCs w:val="20"/>
        </w:rPr>
      </w:pPr>
      <w:r w:rsidRPr="00A33E5C">
        <w:rPr>
          <w:sz w:val="20"/>
          <w:szCs w:val="20"/>
        </w:rPr>
        <w:t xml:space="preserve">• 1-4 family residential structures, </w:t>
      </w:r>
    </w:p>
    <w:p w14:paraId="7ADF5A78" w14:textId="7A9213FB" w:rsidR="00A33E5C" w:rsidRPr="00A33E5C" w:rsidRDefault="00A33E5C" w:rsidP="007F0CCA">
      <w:pPr>
        <w:spacing w:after="0" w:line="240" w:lineRule="auto"/>
        <w:ind w:firstLine="720"/>
        <w:jc w:val="both"/>
        <w:rPr>
          <w:sz w:val="20"/>
          <w:szCs w:val="20"/>
        </w:rPr>
      </w:pPr>
      <w:r w:rsidRPr="00A33E5C">
        <w:rPr>
          <w:sz w:val="20"/>
          <w:szCs w:val="20"/>
        </w:rPr>
        <w:t>• Vacant land on which the transferee intends to build a 1-4 family</w:t>
      </w:r>
      <w:r>
        <w:rPr>
          <w:sz w:val="20"/>
          <w:szCs w:val="20"/>
        </w:rPr>
        <w:t xml:space="preserve"> </w:t>
      </w:r>
      <w:r w:rsidRPr="00A33E5C">
        <w:rPr>
          <w:sz w:val="20"/>
          <w:szCs w:val="20"/>
        </w:rPr>
        <w:t xml:space="preserve">residential structure, </w:t>
      </w:r>
    </w:p>
    <w:p w14:paraId="659EB00B" w14:textId="77777777" w:rsidR="00A33E5C" w:rsidRPr="00A33E5C" w:rsidRDefault="00A33E5C" w:rsidP="007F0CCA">
      <w:pPr>
        <w:spacing w:after="0" w:line="240" w:lineRule="auto"/>
        <w:ind w:firstLine="720"/>
        <w:jc w:val="both"/>
        <w:rPr>
          <w:sz w:val="20"/>
          <w:szCs w:val="20"/>
        </w:rPr>
      </w:pPr>
      <w:r w:rsidRPr="00A33E5C">
        <w:rPr>
          <w:sz w:val="20"/>
          <w:szCs w:val="20"/>
        </w:rPr>
        <w:t xml:space="preserve">• Unit designed for 1-4 families, and </w:t>
      </w:r>
    </w:p>
    <w:p w14:paraId="13D478FB" w14:textId="77777777" w:rsidR="00A33E5C" w:rsidRPr="00A33E5C" w:rsidRDefault="00A33E5C" w:rsidP="007F0CCA">
      <w:pPr>
        <w:spacing w:after="0" w:line="240" w:lineRule="auto"/>
        <w:ind w:firstLine="720"/>
        <w:jc w:val="both"/>
        <w:rPr>
          <w:sz w:val="20"/>
          <w:szCs w:val="20"/>
        </w:rPr>
      </w:pPr>
      <w:r w:rsidRPr="00A33E5C">
        <w:rPr>
          <w:sz w:val="20"/>
          <w:szCs w:val="20"/>
        </w:rPr>
        <w:t xml:space="preserve">• Shares in a cooperative housing corporation. </w:t>
      </w:r>
    </w:p>
    <w:p w14:paraId="4B5E6095" w14:textId="3E73915A" w:rsidR="00A33E5C" w:rsidRPr="00A33E5C" w:rsidRDefault="00A33E5C" w:rsidP="007F0CCA">
      <w:pPr>
        <w:spacing w:after="0" w:line="240" w:lineRule="auto"/>
        <w:jc w:val="both"/>
        <w:rPr>
          <w:sz w:val="20"/>
          <w:szCs w:val="20"/>
        </w:rPr>
      </w:pPr>
      <w:r w:rsidRPr="00A33E5C">
        <w:rPr>
          <w:sz w:val="20"/>
          <w:szCs w:val="20"/>
        </w:rPr>
        <w:t xml:space="preserve">Single-family houses, townhouses, condominiums, cooperatives, and apartment buildings designed for 1-4 families. </w:t>
      </w:r>
      <w:r>
        <w:rPr>
          <w:sz w:val="20"/>
          <w:szCs w:val="20"/>
        </w:rPr>
        <w:t xml:space="preserve">The property also qualifies if it is a </w:t>
      </w:r>
      <w:r w:rsidRPr="00A33E5C">
        <w:rPr>
          <w:sz w:val="20"/>
          <w:szCs w:val="20"/>
        </w:rPr>
        <w:t>mixed-use</w:t>
      </w:r>
      <w:r>
        <w:rPr>
          <w:sz w:val="20"/>
          <w:szCs w:val="20"/>
        </w:rPr>
        <w:t xml:space="preserve"> building</w:t>
      </w:r>
      <w:r w:rsidRPr="00A33E5C">
        <w:rPr>
          <w:sz w:val="20"/>
          <w:szCs w:val="20"/>
        </w:rPr>
        <w:t>,</w:t>
      </w:r>
      <w:r>
        <w:rPr>
          <w:sz w:val="20"/>
          <w:szCs w:val="20"/>
        </w:rPr>
        <w:t xml:space="preserve"> </w:t>
      </w:r>
      <w:r w:rsidRPr="00A33E5C">
        <w:rPr>
          <w:sz w:val="20"/>
          <w:szCs w:val="20"/>
        </w:rPr>
        <w:t>including a single-family residence above a commercial enterprise.</w:t>
      </w:r>
    </w:p>
    <w:p w14:paraId="529E35E0" w14:textId="77777777" w:rsidR="00634D22" w:rsidRDefault="00634D22" w:rsidP="007F0CCA">
      <w:pPr>
        <w:spacing w:after="0" w:line="240" w:lineRule="auto"/>
        <w:jc w:val="both"/>
      </w:pPr>
    </w:p>
    <w:p w14:paraId="605F9D50" w14:textId="77777777" w:rsidR="00634D22" w:rsidRPr="007F0CCA" w:rsidRDefault="00634D22" w:rsidP="007F0CCA">
      <w:pPr>
        <w:spacing w:after="0" w:line="240" w:lineRule="auto"/>
        <w:jc w:val="both"/>
        <w:rPr>
          <w:b/>
          <w:bCs/>
          <w:color w:val="0B769F" w:themeColor="accent4" w:themeShade="BF"/>
        </w:rPr>
      </w:pPr>
      <w:r w:rsidRPr="007F0CCA">
        <w:rPr>
          <w:b/>
          <w:bCs/>
          <w:color w:val="0B769F" w:themeColor="accent4" w:themeShade="BF"/>
        </w:rPr>
        <w:t>►What Qualifies as an Entity or Trust under the RRER?</w:t>
      </w:r>
    </w:p>
    <w:p w14:paraId="682648F8" w14:textId="75040B2B" w:rsidR="00A33E5C" w:rsidRPr="00A33E5C" w:rsidRDefault="00A33E5C" w:rsidP="007F0CCA">
      <w:pPr>
        <w:spacing w:after="0" w:line="240" w:lineRule="auto"/>
        <w:jc w:val="both"/>
        <w:rPr>
          <w:sz w:val="20"/>
          <w:szCs w:val="20"/>
        </w:rPr>
      </w:pPr>
      <w:r>
        <w:rPr>
          <w:sz w:val="20"/>
          <w:szCs w:val="20"/>
        </w:rPr>
        <w:t xml:space="preserve">A </w:t>
      </w:r>
      <w:r w:rsidRPr="00A33E5C">
        <w:rPr>
          <w:sz w:val="20"/>
          <w:szCs w:val="20"/>
        </w:rPr>
        <w:t xml:space="preserve">Transferee </w:t>
      </w:r>
      <w:r>
        <w:rPr>
          <w:sz w:val="20"/>
          <w:szCs w:val="20"/>
        </w:rPr>
        <w:t>E</w:t>
      </w:r>
      <w:r w:rsidRPr="00A33E5C">
        <w:rPr>
          <w:sz w:val="20"/>
          <w:szCs w:val="20"/>
        </w:rPr>
        <w:t xml:space="preserve">ntity </w:t>
      </w:r>
      <w:r>
        <w:rPr>
          <w:sz w:val="20"/>
          <w:szCs w:val="20"/>
        </w:rPr>
        <w:t xml:space="preserve">is </w:t>
      </w:r>
      <w:r w:rsidRPr="00A33E5C">
        <w:rPr>
          <w:sz w:val="20"/>
          <w:szCs w:val="20"/>
        </w:rPr>
        <w:t>generally any person other</w:t>
      </w:r>
      <w:r>
        <w:rPr>
          <w:sz w:val="20"/>
          <w:szCs w:val="20"/>
        </w:rPr>
        <w:t xml:space="preserve"> </w:t>
      </w:r>
      <w:r w:rsidRPr="00A33E5C">
        <w:rPr>
          <w:sz w:val="20"/>
          <w:szCs w:val="20"/>
        </w:rPr>
        <w:t>than a transferee trust or individual, including</w:t>
      </w:r>
      <w:r>
        <w:rPr>
          <w:sz w:val="20"/>
          <w:szCs w:val="20"/>
        </w:rPr>
        <w:t xml:space="preserve"> a corporation, a limited liability company or a partnership. A </w:t>
      </w:r>
      <w:r w:rsidRPr="00A33E5C">
        <w:rPr>
          <w:sz w:val="20"/>
          <w:szCs w:val="20"/>
        </w:rPr>
        <w:t xml:space="preserve">Transferee </w:t>
      </w:r>
      <w:r>
        <w:rPr>
          <w:sz w:val="20"/>
          <w:szCs w:val="20"/>
        </w:rPr>
        <w:t>T</w:t>
      </w:r>
      <w:r w:rsidRPr="00A33E5C">
        <w:rPr>
          <w:sz w:val="20"/>
          <w:szCs w:val="20"/>
        </w:rPr>
        <w:t xml:space="preserve">rust is any arrangement where a person places assets under the control of a trustee for the benefit of one or more </w:t>
      </w:r>
      <w:proofErr w:type="gramStart"/>
      <w:r w:rsidRPr="00A33E5C">
        <w:rPr>
          <w:sz w:val="20"/>
          <w:szCs w:val="20"/>
        </w:rPr>
        <w:t>persons</w:t>
      </w:r>
      <w:proofErr w:type="gramEnd"/>
      <w:r>
        <w:rPr>
          <w:sz w:val="20"/>
          <w:szCs w:val="20"/>
        </w:rPr>
        <w:t>.</w:t>
      </w:r>
    </w:p>
    <w:p w14:paraId="44A436CC" w14:textId="77777777" w:rsidR="00634D22" w:rsidRDefault="00634D22" w:rsidP="007F0CCA">
      <w:pPr>
        <w:spacing w:after="0" w:line="240" w:lineRule="auto"/>
        <w:jc w:val="both"/>
      </w:pPr>
    </w:p>
    <w:p w14:paraId="5962E164" w14:textId="101B4FAF" w:rsidR="00634D22" w:rsidRPr="007F0CCA" w:rsidRDefault="00634D22" w:rsidP="007F0CCA">
      <w:pPr>
        <w:spacing w:after="0" w:line="240" w:lineRule="auto"/>
        <w:jc w:val="both"/>
        <w:rPr>
          <w:b/>
          <w:bCs/>
          <w:color w:val="0B769F" w:themeColor="accent4" w:themeShade="BF"/>
        </w:rPr>
      </w:pPr>
      <w:r w:rsidRPr="007F0CCA">
        <w:rPr>
          <w:b/>
          <w:bCs/>
          <w:color w:val="0B769F" w:themeColor="accent4" w:themeShade="BF"/>
        </w:rPr>
        <w:t>►What is a Non-Financed Transaction under the RRER?</w:t>
      </w:r>
    </w:p>
    <w:p w14:paraId="63F865DF" w14:textId="41EC456D" w:rsidR="00A33E5C" w:rsidRPr="00A33E5C" w:rsidRDefault="00A33E5C" w:rsidP="007F0CCA">
      <w:pPr>
        <w:spacing w:after="0" w:line="240" w:lineRule="auto"/>
        <w:jc w:val="both"/>
        <w:rPr>
          <w:sz w:val="20"/>
          <w:szCs w:val="20"/>
        </w:rPr>
      </w:pPr>
      <w:r w:rsidRPr="00A33E5C">
        <w:rPr>
          <w:sz w:val="20"/>
          <w:szCs w:val="20"/>
        </w:rPr>
        <w:t>The term “non-financed transfer” means a transfer that</w:t>
      </w:r>
      <w:r>
        <w:rPr>
          <w:sz w:val="20"/>
          <w:szCs w:val="20"/>
        </w:rPr>
        <w:t xml:space="preserve"> </w:t>
      </w:r>
      <w:r w:rsidRPr="00A33E5C">
        <w:rPr>
          <w:sz w:val="20"/>
          <w:szCs w:val="20"/>
        </w:rPr>
        <w:t>does not involve an extension of credit to all</w:t>
      </w:r>
      <w:r>
        <w:rPr>
          <w:sz w:val="20"/>
          <w:szCs w:val="20"/>
        </w:rPr>
        <w:t xml:space="preserve"> </w:t>
      </w:r>
      <w:r w:rsidRPr="00A33E5C">
        <w:rPr>
          <w:sz w:val="20"/>
          <w:szCs w:val="20"/>
        </w:rPr>
        <w:t>transferees</w:t>
      </w:r>
      <w:r>
        <w:rPr>
          <w:sz w:val="20"/>
          <w:szCs w:val="20"/>
        </w:rPr>
        <w:t xml:space="preserve"> and that </w:t>
      </w:r>
      <w:r w:rsidRPr="00A33E5C">
        <w:rPr>
          <w:sz w:val="20"/>
          <w:szCs w:val="20"/>
        </w:rPr>
        <w:t>is</w:t>
      </w:r>
      <w:r>
        <w:rPr>
          <w:sz w:val="20"/>
          <w:szCs w:val="20"/>
        </w:rPr>
        <w:t xml:space="preserve"> </w:t>
      </w:r>
      <w:r w:rsidRPr="00A33E5C">
        <w:rPr>
          <w:sz w:val="20"/>
          <w:szCs w:val="20"/>
        </w:rPr>
        <w:t>(</w:t>
      </w:r>
      <w:proofErr w:type="spellStart"/>
      <w:r w:rsidRPr="00A33E5C">
        <w:rPr>
          <w:sz w:val="20"/>
          <w:szCs w:val="20"/>
        </w:rPr>
        <w:t>i</w:t>
      </w:r>
      <w:proofErr w:type="spellEnd"/>
      <w:r w:rsidRPr="00A33E5C">
        <w:rPr>
          <w:sz w:val="20"/>
          <w:szCs w:val="20"/>
        </w:rPr>
        <w:t xml:space="preserve">) </w:t>
      </w:r>
      <w:r>
        <w:rPr>
          <w:sz w:val="20"/>
          <w:szCs w:val="20"/>
        </w:rPr>
        <w:t>s</w:t>
      </w:r>
      <w:r w:rsidRPr="00A33E5C">
        <w:rPr>
          <w:sz w:val="20"/>
          <w:szCs w:val="20"/>
        </w:rPr>
        <w:t>ecured by the transferred residential real property; and</w:t>
      </w:r>
      <w:r>
        <w:rPr>
          <w:sz w:val="20"/>
          <w:szCs w:val="20"/>
        </w:rPr>
        <w:t xml:space="preserve"> </w:t>
      </w:r>
      <w:r w:rsidRPr="00A33E5C">
        <w:rPr>
          <w:sz w:val="20"/>
          <w:szCs w:val="20"/>
        </w:rPr>
        <w:t xml:space="preserve">(ii) </w:t>
      </w:r>
      <w:r>
        <w:rPr>
          <w:sz w:val="20"/>
          <w:szCs w:val="20"/>
        </w:rPr>
        <w:t>e</w:t>
      </w:r>
      <w:r w:rsidRPr="00A33E5C">
        <w:rPr>
          <w:sz w:val="20"/>
          <w:szCs w:val="20"/>
        </w:rPr>
        <w:t>xtended by a financial institution that has both an</w:t>
      </w:r>
      <w:r>
        <w:rPr>
          <w:sz w:val="20"/>
          <w:szCs w:val="20"/>
        </w:rPr>
        <w:t xml:space="preserve"> </w:t>
      </w:r>
      <w:r w:rsidRPr="00A33E5C">
        <w:rPr>
          <w:sz w:val="20"/>
          <w:szCs w:val="20"/>
        </w:rPr>
        <w:t>obligation to maintain an anti-money laundering</w:t>
      </w:r>
      <w:r>
        <w:rPr>
          <w:sz w:val="20"/>
          <w:szCs w:val="20"/>
        </w:rPr>
        <w:t xml:space="preserve"> </w:t>
      </w:r>
      <w:r w:rsidRPr="00A33E5C">
        <w:rPr>
          <w:sz w:val="20"/>
          <w:szCs w:val="20"/>
        </w:rPr>
        <w:t>program and an obligation to report suspicious</w:t>
      </w:r>
      <w:r>
        <w:rPr>
          <w:sz w:val="20"/>
          <w:szCs w:val="20"/>
        </w:rPr>
        <w:t xml:space="preserve"> </w:t>
      </w:r>
      <w:r w:rsidRPr="00A33E5C">
        <w:rPr>
          <w:sz w:val="20"/>
          <w:szCs w:val="20"/>
        </w:rPr>
        <w:t>transactions</w:t>
      </w:r>
      <w:r>
        <w:rPr>
          <w:sz w:val="20"/>
          <w:szCs w:val="20"/>
        </w:rPr>
        <w:t xml:space="preserve"> under the Bank Secrecy Act</w:t>
      </w:r>
      <w:r w:rsidRPr="00A33E5C">
        <w:rPr>
          <w:sz w:val="20"/>
          <w:szCs w:val="20"/>
        </w:rPr>
        <w:t>.</w:t>
      </w:r>
      <w:r>
        <w:rPr>
          <w:sz w:val="20"/>
          <w:szCs w:val="20"/>
        </w:rPr>
        <w:t xml:space="preserve"> </w:t>
      </w:r>
      <w:r w:rsidRPr="00A33E5C">
        <w:rPr>
          <w:sz w:val="20"/>
          <w:szCs w:val="20"/>
        </w:rPr>
        <w:t>31 CFR §1031.320(n)(5</w:t>
      </w:r>
      <w:r w:rsidR="0091722E">
        <w:rPr>
          <w:sz w:val="20"/>
          <w:szCs w:val="20"/>
        </w:rPr>
        <w:t>). Non-financed transaction</w:t>
      </w:r>
      <w:r w:rsidR="006A36DE">
        <w:rPr>
          <w:sz w:val="20"/>
          <w:szCs w:val="20"/>
        </w:rPr>
        <w:t>s</w:t>
      </w:r>
      <w:r w:rsidR="0091722E">
        <w:rPr>
          <w:sz w:val="20"/>
          <w:szCs w:val="20"/>
        </w:rPr>
        <w:t xml:space="preserve"> include cash transactions, zero-dollar transfers, hard money loans, Seller financing </w:t>
      </w:r>
      <w:r w:rsidR="006A36DE">
        <w:rPr>
          <w:sz w:val="20"/>
          <w:szCs w:val="20"/>
        </w:rPr>
        <w:t>and</w:t>
      </w:r>
      <w:r w:rsidR="0091722E">
        <w:rPr>
          <w:sz w:val="20"/>
          <w:szCs w:val="20"/>
        </w:rPr>
        <w:t xml:space="preserve"> familial loans.</w:t>
      </w:r>
    </w:p>
    <w:p w14:paraId="7EBA892D" w14:textId="77777777" w:rsidR="00634D22" w:rsidRDefault="00634D22" w:rsidP="007F0CCA">
      <w:pPr>
        <w:spacing w:after="0" w:line="240" w:lineRule="auto"/>
        <w:jc w:val="both"/>
      </w:pPr>
    </w:p>
    <w:p w14:paraId="459004DE" w14:textId="5C0813D6" w:rsidR="0091722E" w:rsidRPr="007F0CCA" w:rsidRDefault="00634D22" w:rsidP="007F0CCA">
      <w:pPr>
        <w:spacing w:after="0" w:line="240" w:lineRule="auto"/>
        <w:jc w:val="both"/>
        <w:rPr>
          <w:b/>
          <w:bCs/>
          <w:color w:val="0B769F" w:themeColor="accent4" w:themeShade="BF"/>
        </w:rPr>
      </w:pPr>
      <w:r w:rsidRPr="007F0CCA">
        <w:rPr>
          <w:b/>
          <w:bCs/>
          <w:color w:val="0B769F" w:themeColor="accent4" w:themeShade="BF"/>
        </w:rPr>
        <w:t xml:space="preserve">►What </w:t>
      </w:r>
      <w:r w:rsidR="00FC7E8F">
        <w:rPr>
          <w:b/>
          <w:bCs/>
          <w:color w:val="0B769F" w:themeColor="accent4" w:themeShade="BF"/>
        </w:rPr>
        <w:t>I</w:t>
      </w:r>
      <w:r w:rsidRPr="007F0CCA">
        <w:rPr>
          <w:b/>
          <w:bCs/>
          <w:color w:val="0B769F" w:themeColor="accent4" w:themeShade="BF"/>
        </w:rPr>
        <w:t>nformation to be collected</w:t>
      </w:r>
      <w:r w:rsidR="0094138F" w:rsidRPr="007F0CCA">
        <w:rPr>
          <w:b/>
          <w:bCs/>
          <w:color w:val="0B769F" w:themeColor="accent4" w:themeShade="BF"/>
        </w:rPr>
        <w:t xml:space="preserve"> from the Parties</w:t>
      </w:r>
      <w:r w:rsidRPr="007F0CCA">
        <w:rPr>
          <w:b/>
          <w:bCs/>
          <w:color w:val="0B769F" w:themeColor="accent4" w:themeShade="BF"/>
        </w:rPr>
        <w:t xml:space="preserve"> and </w:t>
      </w:r>
      <w:r w:rsidR="0094138F" w:rsidRPr="007F0CCA">
        <w:rPr>
          <w:b/>
          <w:bCs/>
          <w:color w:val="0B769F" w:themeColor="accent4" w:themeShade="BF"/>
        </w:rPr>
        <w:t xml:space="preserve">Provided </w:t>
      </w:r>
      <w:r w:rsidRPr="007F0CCA">
        <w:rPr>
          <w:b/>
          <w:bCs/>
          <w:color w:val="0B769F" w:themeColor="accent4" w:themeShade="BF"/>
        </w:rPr>
        <w:t>to FinCEN in a Reportable Transaction?</w:t>
      </w:r>
    </w:p>
    <w:p w14:paraId="634F0BA5" w14:textId="5AA25742" w:rsidR="0091722E" w:rsidRPr="007F0CCA" w:rsidRDefault="0091722E" w:rsidP="007F0CCA">
      <w:pPr>
        <w:spacing w:after="0" w:line="240" w:lineRule="auto"/>
        <w:jc w:val="both"/>
        <w:rPr>
          <w:sz w:val="20"/>
          <w:szCs w:val="20"/>
        </w:rPr>
      </w:pPr>
      <w:r w:rsidRPr="007F0CCA">
        <w:rPr>
          <w:sz w:val="20"/>
          <w:szCs w:val="20"/>
        </w:rPr>
        <w:t>Your settlement agent will provide you with a Buyer or Seller Data Collection Form. These forms were developed by the American Land Title Association (ALTA) to ensure uniformity in data collection.</w:t>
      </w:r>
      <w:r w:rsidR="007F0CCA">
        <w:t xml:space="preserve"> </w:t>
      </w:r>
      <w:r w:rsidR="00FC7E8F" w:rsidRPr="007F0CCA">
        <w:rPr>
          <w:sz w:val="20"/>
          <w:szCs w:val="20"/>
        </w:rPr>
        <w:t>Generally,</w:t>
      </w:r>
      <w:r w:rsidR="007F0CCA" w:rsidRPr="007F0CCA">
        <w:rPr>
          <w:sz w:val="20"/>
          <w:szCs w:val="20"/>
        </w:rPr>
        <w:t xml:space="preserve"> the categories of information include Buyer and Seller identification, government IDs, source of funds, include amounts, account ownership and information, and details regarding the closing and the real property. </w:t>
      </w:r>
      <w:r w:rsidRPr="007F0CCA">
        <w:rPr>
          <w:sz w:val="20"/>
          <w:szCs w:val="20"/>
        </w:rPr>
        <w:t xml:space="preserve"> </w:t>
      </w:r>
    </w:p>
    <w:p w14:paraId="3F4D633D" w14:textId="77777777" w:rsidR="0091722E" w:rsidRDefault="0091722E" w:rsidP="007F0CCA">
      <w:pPr>
        <w:spacing w:after="0" w:line="240" w:lineRule="auto"/>
        <w:jc w:val="both"/>
      </w:pPr>
    </w:p>
    <w:p w14:paraId="69164CFB" w14:textId="5F35B6AB" w:rsidR="0091722E" w:rsidRPr="007F0CCA" w:rsidRDefault="0091722E" w:rsidP="007F0CCA">
      <w:pPr>
        <w:spacing w:after="0" w:line="240" w:lineRule="auto"/>
        <w:jc w:val="both"/>
        <w:rPr>
          <w:b/>
          <w:bCs/>
          <w:color w:val="0B769F" w:themeColor="accent4" w:themeShade="BF"/>
        </w:rPr>
      </w:pPr>
      <w:r w:rsidRPr="007F0CCA">
        <w:rPr>
          <w:b/>
          <w:bCs/>
          <w:color w:val="0B769F" w:themeColor="accent4" w:themeShade="BF"/>
        </w:rPr>
        <w:t xml:space="preserve">►Who is Responsible to Report the Collected Data to FinCEN? </w:t>
      </w:r>
    </w:p>
    <w:p w14:paraId="4DE6036E" w14:textId="6325952C" w:rsidR="00634D22" w:rsidRPr="0091722E" w:rsidRDefault="0091722E" w:rsidP="007F0CCA">
      <w:pPr>
        <w:spacing w:after="0" w:line="240" w:lineRule="auto"/>
        <w:jc w:val="both"/>
        <w:rPr>
          <w:sz w:val="20"/>
          <w:szCs w:val="20"/>
        </w:rPr>
      </w:pPr>
      <w:r>
        <w:t xml:space="preserve"> </w:t>
      </w:r>
      <w:r>
        <w:rPr>
          <w:sz w:val="20"/>
          <w:szCs w:val="20"/>
        </w:rPr>
        <w:t xml:space="preserve">Primary responsibility to report the data collected regarding a </w:t>
      </w:r>
      <w:proofErr w:type="gramStart"/>
      <w:r>
        <w:rPr>
          <w:sz w:val="20"/>
          <w:szCs w:val="20"/>
        </w:rPr>
        <w:t>Reportable Transaction rests</w:t>
      </w:r>
      <w:proofErr w:type="gramEnd"/>
      <w:r>
        <w:rPr>
          <w:sz w:val="20"/>
          <w:szCs w:val="20"/>
        </w:rPr>
        <w:t xml:space="preserve"> with the settlement agent, the agency closing the transaction. FinCEN has created a Cascade of Reporting </w:t>
      </w:r>
      <w:proofErr w:type="gramStart"/>
      <w:r>
        <w:rPr>
          <w:sz w:val="20"/>
          <w:szCs w:val="20"/>
        </w:rPr>
        <w:t>Persons</w:t>
      </w:r>
      <w:proofErr w:type="gramEnd"/>
      <w:r>
        <w:rPr>
          <w:sz w:val="20"/>
          <w:szCs w:val="20"/>
        </w:rPr>
        <w:t xml:space="preserve"> may be responsible </w:t>
      </w:r>
      <w:proofErr w:type="gramStart"/>
      <w:r>
        <w:rPr>
          <w:sz w:val="20"/>
          <w:szCs w:val="20"/>
        </w:rPr>
        <w:t>to report</w:t>
      </w:r>
      <w:proofErr w:type="gramEnd"/>
      <w:r>
        <w:rPr>
          <w:sz w:val="20"/>
          <w:szCs w:val="20"/>
        </w:rPr>
        <w:t xml:space="preserve"> to FinCEN. </w:t>
      </w:r>
    </w:p>
    <w:p w14:paraId="5F3BDFA3" w14:textId="77777777" w:rsidR="00634D22" w:rsidRDefault="00634D22" w:rsidP="007F0CCA">
      <w:pPr>
        <w:spacing w:after="0" w:line="240" w:lineRule="auto"/>
        <w:jc w:val="both"/>
      </w:pPr>
    </w:p>
    <w:p w14:paraId="378F3C38" w14:textId="77777777" w:rsidR="007F0CCA" w:rsidRDefault="007F0CCA">
      <w:pPr>
        <w:rPr>
          <w:b/>
          <w:bCs/>
          <w:color w:val="0B769F" w:themeColor="accent4" w:themeShade="BF"/>
        </w:rPr>
      </w:pPr>
      <w:r>
        <w:rPr>
          <w:b/>
          <w:bCs/>
          <w:color w:val="0B769F" w:themeColor="accent4" w:themeShade="BF"/>
        </w:rPr>
        <w:br w:type="page"/>
      </w:r>
    </w:p>
    <w:p w14:paraId="5F5D97FE" w14:textId="2F9D1083" w:rsidR="00634D22" w:rsidRPr="007F0CCA" w:rsidRDefault="00634D22" w:rsidP="007F0CCA">
      <w:pPr>
        <w:spacing w:after="0" w:line="240" w:lineRule="auto"/>
        <w:jc w:val="both"/>
        <w:rPr>
          <w:b/>
          <w:bCs/>
          <w:color w:val="0B769F" w:themeColor="accent4" w:themeShade="BF"/>
        </w:rPr>
      </w:pPr>
      <w:r w:rsidRPr="007F0CCA">
        <w:rPr>
          <w:b/>
          <w:bCs/>
          <w:color w:val="0B769F" w:themeColor="accent4" w:themeShade="BF"/>
        </w:rPr>
        <w:lastRenderedPageBreak/>
        <w:t>►Are there any Exemptions to the Reporting Requirements of the RRER?</w:t>
      </w:r>
    </w:p>
    <w:p w14:paraId="55997AC9" w14:textId="44F540CC" w:rsidR="0091722E" w:rsidRDefault="0091722E" w:rsidP="007F0CCA">
      <w:pPr>
        <w:spacing w:after="0" w:line="240" w:lineRule="auto"/>
        <w:jc w:val="both"/>
      </w:pPr>
      <w:r>
        <w:rPr>
          <w:sz w:val="20"/>
          <w:szCs w:val="20"/>
        </w:rPr>
        <w:t>Yes, there are limited exemptions for both transferee entities and transferee trusts, many of which involve parties who may already have financial reporting obligations to a federal agency</w:t>
      </w:r>
      <w:r w:rsidR="006A36DE">
        <w:rPr>
          <w:sz w:val="20"/>
          <w:szCs w:val="20"/>
        </w:rPr>
        <w:t xml:space="preserve"> or a court</w:t>
      </w:r>
      <w:r>
        <w:rPr>
          <w:sz w:val="20"/>
          <w:szCs w:val="20"/>
        </w:rPr>
        <w:t>. Parties should check with your title and settlement agent to determine if any of the available exemptions apply to your transaction.</w:t>
      </w:r>
    </w:p>
    <w:p w14:paraId="3A9E0B4C" w14:textId="77777777" w:rsidR="00634D22" w:rsidRDefault="00634D22" w:rsidP="007F0CCA">
      <w:pPr>
        <w:spacing w:after="0" w:line="240" w:lineRule="auto"/>
        <w:jc w:val="both"/>
      </w:pPr>
    </w:p>
    <w:p w14:paraId="7221FCA0" w14:textId="3FD133D0" w:rsidR="00634D22" w:rsidRPr="007F0CCA" w:rsidRDefault="00634D22" w:rsidP="007F0CCA">
      <w:pPr>
        <w:spacing w:after="0" w:line="240" w:lineRule="auto"/>
        <w:jc w:val="both"/>
        <w:rPr>
          <w:b/>
          <w:bCs/>
          <w:color w:val="0B769F" w:themeColor="accent4" w:themeShade="BF"/>
        </w:rPr>
      </w:pPr>
      <w:r w:rsidRPr="007F0CCA">
        <w:rPr>
          <w:b/>
          <w:bCs/>
          <w:color w:val="0B769F" w:themeColor="accent4" w:themeShade="BF"/>
        </w:rPr>
        <w:t xml:space="preserve">►What are the Penalties for Not Complying with the RRER? </w:t>
      </w:r>
    </w:p>
    <w:p w14:paraId="6D0AFF95" w14:textId="1C68DB72" w:rsidR="0091722E" w:rsidRDefault="0091722E" w:rsidP="007F0CCA">
      <w:pPr>
        <w:spacing w:after="0" w:line="240" w:lineRule="auto"/>
        <w:jc w:val="both"/>
        <w:rPr>
          <w:sz w:val="20"/>
          <w:szCs w:val="20"/>
        </w:rPr>
      </w:pPr>
      <w:r w:rsidRPr="0091722E">
        <w:rPr>
          <w:sz w:val="20"/>
          <w:szCs w:val="20"/>
        </w:rPr>
        <w:t xml:space="preserve">There are </w:t>
      </w:r>
      <w:r w:rsidR="007F0CCA">
        <w:rPr>
          <w:sz w:val="20"/>
          <w:szCs w:val="20"/>
        </w:rPr>
        <w:t>substantial c</w:t>
      </w:r>
      <w:r w:rsidRPr="0091722E">
        <w:rPr>
          <w:sz w:val="20"/>
          <w:szCs w:val="20"/>
        </w:rPr>
        <w:t>iv</w:t>
      </w:r>
      <w:r>
        <w:rPr>
          <w:sz w:val="20"/>
          <w:szCs w:val="20"/>
        </w:rPr>
        <w:t>i</w:t>
      </w:r>
      <w:r w:rsidRPr="0091722E">
        <w:rPr>
          <w:sz w:val="20"/>
          <w:szCs w:val="20"/>
        </w:rPr>
        <w:t xml:space="preserve">l and </w:t>
      </w:r>
      <w:r w:rsidR="007F0CCA">
        <w:rPr>
          <w:sz w:val="20"/>
          <w:szCs w:val="20"/>
        </w:rPr>
        <w:t>c</w:t>
      </w:r>
      <w:r w:rsidRPr="0091722E">
        <w:rPr>
          <w:sz w:val="20"/>
          <w:szCs w:val="20"/>
        </w:rPr>
        <w:t xml:space="preserve">riminal </w:t>
      </w:r>
      <w:r w:rsidR="007F0CCA">
        <w:rPr>
          <w:sz w:val="20"/>
          <w:szCs w:val="20"/>
        </w:rPr>
        <w:t>p</w:t>
      </w:r>
      <w:r w:rsidRPr="0091722E">
        <w:rPr>
          <w:sz w:val="20"/>
          <w:szCs w:val="20"/>
        </w:rPr>
        <w:t xml:space="preserve">enalties for noncompliance with the RRER. That is why it is critical that </w:t>
      </w:r>
      <w:r>
        <w:rPr>
          <w:sz w:val="20"/>
          <w:szCs w:val="20"/>
        </w:rPr>
        <w:t>all parties cooperate with the settlement agent’s request</w:t>
      </w:r>
      <w:r w:rsidR="007F0CCA">
        <w:rPr>
          <w:sz w:val="20"/>
          <w:szCs w:val="20"/>
        </w:rPr>
        <w:t>s</w:t>
      </w:r>
      <w:r>
        <w:rPr>
          <w:sz w:val="20"/>
          <w:szCs w:val="20"/>
        </w:rPr>
        <w:t xml:space="preserve"> </w:t>
      </w:r>
      <w:r w:rsidR="007F0CCA">
        <w:rPr>
          <w:sz w:val="20"/>
          <w:szCs w:val="20"/>
        </w:rPr>
        <w:t xml:space="preserve">for necessary </w:t>
      </w:r>
      <w:r>
        <w:rPr>
          <w:sz w:val="20"/>
          <w:szCs w:val="20"/>
        </w:rPr>
        <w:t xml:space="preserve">data collection. Please be sure to alert your settlement agent if the terms of your transaction change after the initial </w:t>
      </w:r>
      <w:r w:rsidR="007F0CCA">
        <w:rPr>
          <w:sz w:val="20"/>
          <w:szCs w:val="20"/>
        </w:rPr>
        <w:t>order</w:t>
      </w:r>
      <w:r>
        <w:rPr>
          <w:sz w:val="20"/>
          <w:szCs w:val="20"/>
        </w:rPr>
        <w:t xml:space="preserve"> entry </w:t>
      </w:r>
      <w:r w:rsidR="007F0CCA">
        <w:rPr>
          <w:sz w:val="20"/>
          <w:szCs w:val="20"/>
        </w:rPr>
        <w:t xml:space="preserve">to subject your transaction to FinCEN reporting. </w:t>
      </w:r>
    </w:p>
    <w:p w14:paraId="276783AA" w14:textId="0EFFEC97" w:rsidR="007F0CCA" w:rsidRDefault="007F0CCA" w:rsidP="007F0CCA">
      <w:pPr>
        <w:spacing w:after="0" w:line="240" w:lineRule="auto"/>
        <w:jc w:val="both"/>
        <w:rPr>
          <w:sz w:val="20"/>
          <w:szCs w:val="20"/>
        </w:rPr>
      </w:pPr>
      <w:r>
        <w:rPr>
          <w:sz w:val="20"/>
          <w:szCs w:val="20"/>
        </w:rPr>
        <w:t>___________________________________________________________________________________</w:t>
      </w:r>
    </w:p>
    <w:p w14:paraId="009B10B6" w14:textId="77777777" w:rsidR="007F0CCA" w:rsidRDefault="007F0CCA" w:rsidP="007F0CCA">
      <w:pPr>
        <w:spacing w:after="0" w:line="240" w:lineRule="auto"/>
        <w:jc w:val="both"/>
        <w:rPr>
          <w:sz w:val="20"/>
          <w:szCs w:val="20"/>
        </w:rPr>
      </w:pPr>
    </w:p>
    <w:p w14:paraId="411CA43B" w14:textId="79C7870C" w:rsidR="007F0CCA" w:rsidRPr="007F0CCA" w:rsidRDefault="007F0CCA" w:rsidP="007F0CCA">
      <w:pPr>
        <w:spacing w:after="0" w:line="240" w:lineRule="auto"/>
        <w:jc w:val="both"/>
        <w:rPr>
          <w:sz w:val="20"/>
          <w:szCs w:val="20"/>
        </w:rPr>
      </w:pPr>
      <w:r w:rsidRPr="007F0CCA">
        <w:rPr>
          <w:sz w:val="20"/>
          <w:szCs w:val="20"/>
        </w:rPr>
        <w:t xml:space="preserve">Your Settlement Agent is your guide </w:t>
      </w:r>
      <w:r>
        <w:rPr>
          <w:sz w:val="20"/>
          <w:szCs w:val="20"/>
        </w:rPr>
        <w:t>as you traverse th</w:t>
      </w:r>
      <w:r w:rsidRPr="007F0CCA">
        <w:rPr>
          <w:sz w:val="20"/>
          <w:szCs w:val="20"/>
        </w:rPr>
        <w:t xml:space="preserve">e data collection process and will work closely with you to ensure your transaction is </w:t>
      </w:r>
      <w:r>
        <w:rPr>
          <w:sz w:val="20"/>
          <w:szCs w:val="20"/>
        </w:rPr>
        <w:t xml:space="preserve">fully </w:t>
      </w:r>
      <w:r w:rsidRPr="007F0CCA">
        <w:rPr>
          <w:sz w:val="20"/>
          <w:szCs w:val="20"/>
        </w:rPr>
        <w:t>compliant with the RRER and proceeds to closing in a frictionless manner.</w:t>
      </w:r>
      <w:r>
        <w:rPr>
          <w:sz w:val="20"/>
          <w:szCs w:val="20"/>
        </w:rPr>
        <w:t xml:space="preserve"> </w:t>
      </w:r>
      <w:r w:rsidRPr="007F0CCA">
        <w:rPr>
          <w:sz w:val="20"/>
          <w:szCs w:val="20"/>
        </w:rPr>
        <w:t xml:space="preserve">  </w:t>
      </w:r>
    </w:p>
    <w:p w14:paraId="530447AE" w14:textId="77777777" w:rsidR="00634D22" w:rsidRPr="007F0CCA" w:rsidRDefault="00634D22" w:rsidP="00634D22">
      <w:pPr>
        <w:spacing w:after="0" w:line="240" w:lineRule="auto"/>
        <w:rPr>
          <w:sz w:val="20"/>
          <w:szCs w:val="20"/>
        </w:rPr>
      </w:pPr>
    </w:p>
    <w:p w14:paraId="12E7B134" w14:textId="2B071CBD" w:rsidR="00634D22" w:rsidRPr="007F0CCA" w:rsidRDefault="007F0CCA" w:rsidP="007F0CCA">
      <w:pPr>
        <w:spacing w:after="0" w:line="240" w:lineRule="auto"/>
        <w:jc w:val="center"/>
        <w:rPr>
          <w:b/>
          <w:bCs/>
          <w:i/>
          <w:iCs/>
          <w:sz w:val="20"/>
          <w:szCs w:val="20"/>
        </w:rPr>
      </w:pPr>
      <w:r w:rsidRPr="007F0CCA">
        <w:rPr>
          <w:b/>
          <w:bCs/>
          <w:i/>
          <w:iCs/>
          <w:sz w:val="20"/>
          <w:szCs w:val="20"/>
        </w:rPr>
        <w:t>[Insert Settlement Agent Branding and Contact Information Here]</w:t>
      </w:r>
    </w:p>
    <w:p w14:paraId="09EE5BD5" w14:textId="77777777" w:rsidR="00634D22" w:rsidRDefault="00634D22" w:rsidP="00634D22">
      <w:pPr>
        <w:spacing w:after="0" w:line="240" w:lineRule="auto"/>
      </w:pPr>
    </w:p>
    <w:p w14:paraId="13CAFB90" w14:textId="4F22ED17" w:rsidR="00634D22" w:rsidRDefault="00634D22" w:rsidP="00634D22">
      <w:pPr>
        <w:spacing w:after="0" w:line="240" w:lineRule="auto"/>
      </w:pPr>
      <w:r>
        <w:t xml:space="preserve"> </w:t>
      </w:r>
    </w:p>
    <w:p w14:paraId="74F3B7A5" w14:textId="77777777" w:rsidR="00634D22" w:rsidRDefault="00634D22" w:rsidP="00634D22">
      <w:pPr>
        <w:spacing w:after="0" w:line="240" w:lineRule="auto"/>
      </w:pPr>
    </w:p>
    <w:p w14:paraId="5CA4B514" w14:textId="77777777" w:rsidR="00634D22" w:rsidRDefault="00634D22" w:rsidP="00634D22">
      <w:pPr>
        <w:spacing w:after="0" w:line="240" w:lineRule="auto"/>
      </w:pPr>
    </w:p>
    <w:p w14:paraId="7DBB233E" w14:textId="77777777" w:rsidR="00634D22" w:rsidRDefault="00634D22" w:rsidP="00634D22">
      <w:pPr>
        <w:spacing w:after="0" w:line="240" w:lineRule="auto"/>
      </w:pPr>
    </w:p>
    <w:p w14:paraId="401B029D" w14:textId="77777777" w:rsidR="00634D22" w:rsidRDefault="00634D22" w:rsidP="00634D22">
      <w:pPr>
        <w:spacing w:after="0" w:line="240" w:lineRule="auto"/>
      </w:pPr>
    </w:p>
    <w:sectPr w:rsidR="00634D22" w:rsidSect="007F0C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D22"/>
    <w:rsid w:val="001D44A6"/>
    <w:rsid w:val="002648CC"/>
    <w:rsid w:val="004A2B89"/>
    <w:rsid w:val="00634D22"/>
    <w:rsid w:val="006A36DE"/>
    <w:rsid w:val="006B746F"/>
    <w:rsid w:val="007F0CCA"/>
    <w:rsid w:val="00916063"/>
    <w:rsid w:val="0091722E"/>
    <w:rsid w:val="0094138F"/>
    <w:rsid w:val="009B6524"/>
    <w:rsid w:val="00A33E5C"/>
    <w:rsid w:val="00C527A8"/>
    <w:rsid w:val="00F25172"/>
    <w:rsid w:val="00FC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1A2E9"/>
  <w15:chartTrackingRefBased/>
  <w15:docId w15:val="{9489258A-9D8C-4E85-911C-9BA7FD84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A0A0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B89"/>
  </w:style>
  <w:style w:type="paragraph" w:styleId="Heading1">
    <w:name w:val="heading 1"/>
    <w:basedOn w:val="Normal"/>
    <w:next w:val="Normal"/>
    <w:link w:val="Heading1Char"/>
    <w:uiPriority w:val="9"/>
    <w:qFormat/>
    <w:rsid w:val="004A2B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2B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2B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2B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2B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2B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2B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2B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2B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B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2B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2B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2B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2B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2B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2B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2B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2B89"/>
    <w:rPr>
      <w:rFonts w:eastAsiaTheme="majorEastAsia" w:cstheme="majorBidi"/>
      <w:color w:val="272727" w:themeColor="text1" w:themeTint="D8"/>
    </w:rPr>
  </w:style>
  <w:style w:type="paragraph" w:styleId="Title">
    <w:name w:val="Title"/>
    <w:basedOn w:val="Normal"/>
    <w:next w:val="Normal"/>
    <w:link w:val="TitleChar"/>
    <w:uiPriority w:val="10"/>
    <w:qFormat/>
    <w:rsid w:val="004A2B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2B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2B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2B89"/>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4A2B89"/>
    <w:pPr>
      <w:ind w:left="720"/>
      <w:contextualSpacing/>
    </w:pPr>
  </w:style>
  <w:style w:type="paragraph" w:styleId="Quote">
    <w:name w:val="Quote"/>
    <w:basedOn w:val="Normal"/>
    <w:next w:val="Normal"/>
    <w:link w:val="QuoteChar"/>
    <w:uiPriority w:val="29"/>
    <w:qFormat/>
    <w:rsid w:val="004A2B89"/>
    <w:pPr>
      <w:spacing w:before="160"/>
      <w:jc w:val="center"/>
    </w:pPr>
    <w:rPr>
      <w:i/>
      <w:iCs/>
      <w:color w:val="404040" w:themeColor="text1" w:themeTint="BF"/>
    </w:rPr>
  </w:style>
  <w:style w:type="character" w:customStyle="1" w:styleId="QuoteChar">
    <w:name w:val="Quote Char"/>
    <w:basedOn w:val="DefaultParagraphFont"/>
    <w:link w:val="Quote"/>
    <w:uiPriority w:val="29"/>
    <w:rsid w:val="004A2B89"/>
    <w:rPr>
      <w:i/>
      <w:iCs/>
      <w:color w:val="404040" w:themeColor="text1" w:themeTint="BF"/>
    </w:rPr>
  </w:style>
  <w:style w:type="paragraph" w:styleId="IntenseQuote">
    <w:name w:val="Intense Quote"/>
    <w:basedOn w:val="Normal"/>
    <w:next w:val="Normal"/>
    <w:link w:val="IntenseQuoteChar"/>
    <w:uiPriority w:val="30"/>
    <w:qFormat/>
    <w:rsid w:val="004A2B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2B89"/>
    <w:rPr>
      <w:i/>
      <w:iCs/>
      <w:color w:val="0F4761" w:themeColor="accent1" w:themeShade="BF"/>
    </w:rPr>
  </w:style>
  <w:style w:type="character" w:styleId="IntenseEmphasis">
    <w:name w:val="Intense Emphasis"/>
    <w:basedOn w:val="DefaultParagraphFont"/>
    <w:uiPriority w:val="21"/>
    <w:qFormat/>
    <w:rsid w:val="004A2B89"/>
    <w:rPr>
      <w:i/>
      <w:iCs/>
      <w:color w:val="0F4761" w:themeColor="accent1" w:themeShade="BF"/>
    </w:rPr>
  </w:style>
  <w:style w:type="character" w:styleId="IntenseReference">
    <w:name w:val="Intense Reference"/>
    <w:basedOn w:val="DefaultParagraphFont"/>
    <w:uiPriority w:val="32"/>
    <w:qFormat/>
    <w:rsid w:val="004A2B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Grandin</dc:creator>
  <cp:keywords/>
  <dc:description/>
  <cp:lastModifiedBy>Valerie Grandin</cp:lastModifiedBy>
  <cp:revision>4</cp:revision>
  <dcterms:created xsi:type="dcterms:W3CDTF">2025-08-01T18:09:00Z</dcterms:created>
  <dcterms:modified xsi:type="dcterms:W3CDTF">2025-08-06T16:15:00Z</dcterms:modified>
</cp:coreProperties>
</file>